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AA" w:rsidRDefault="000C29AA" w:rsidP="00C745D1">
      <w:pPr>
        <w:pStyle w:val="NormalWeb"/>
        <w:spacing w:before="0" w:beforeAutospacing="0" w:after="0" w:afterAutospacing="0"/>
        <w:jc w:val="center"/>
        <w:rPr>
          <w:b/>
          <w:bCs/>
        </w:rPr>
      </w:pPr>
      <w:bookmarkStart w:id="0" w:name="chuong_phuluc_1"/>
      <w:r>
        <w:rPr>
          <w:b/>
          <w:bCs/>
        </w:rPr>
        <w:t xml:space="preserve">Phụ lục </w:t>
      </w:r>
      <w:bookmarkEnd w:id="0"/>
      <w:r w:rsidR="008B5A71">
        <w:rPr>
          <w:b/>
          <w:bCs/>
        </w:rPr>
        <w:t>02</w:t>
      </w:r>
    </w:p>
    <w:p w:rsidR="000C29AA" w:rsidRPr="008B5A71" w:rsidRDefault="000C29AA" w:rsidP="008B5A71">
      <w:pPr>
        <w:pStyle w:val="NormalWeb"/>
        <w:spacing w:before="0" w:beforeAutospacing="0" w:after="0" w:afterAutospacing="0"/>
        <w:jc w:val="center"/>
        <w:rPr>
          <w:bCs/>
          <w:i/>
        </w:rPr>
      </w:pPr>
      <w:r w:rsidRPr="00C04819">
        <w:rPr>
          <w:bCs/>
          <w:i/>
        </w:rPr>
        <w:t>(Ban hành kèm theo Thông tư số …/……/TT-NHNN ngày …/…/….của Thống đốc Ngân hàng Nhà nước Việt Nam)</w:t>
      </w:r>
    </w:p>
    <w:tbl>
      <w:tblPr>
        <w:tblW w:w="0" w:type="auto"/>
        <w:tblCellMar>
          <w:left w:w="0" w:type="dxa"/>
          <w:right w:w="0" w:type="dxa"/>
        </w:tblCellMar>
        <w:tblLook w:val="04A0" w:firstRow="1" w:lastRow="0" w:firstColumn="1" w:lastColumn="0" w:noHBand="0" w:noVBand="1"/>
      </w:tblPr>
      <w:tblGrid>
        <w:gridCol w:w="3348"/>
        <w:gridCol w:w="5508"/>
      </w:tblGrid>
      <w:tr w:rsidR="009A7C98" w:rsidTr="00AE79AB">
        <w:tc>
          <w:tcPr>
            <w:tcW w:w="3348" w:type="dxa"/>
            <w:tcMar>
              <w:top w:w="0" w:type="dxa"/>
              <w:left w:w="108" w:type="dxa"/>
              <w:bottom w:w="0" w:type="dxa"/>
              <w:right w:w="108" w:type="dxa"/>
            </w:tcMar>
            <w:hideMark/>
          </w:tcPr>
          <w:p w:rsidR="009A7C98" w:rsidRDefault="009A7C98" w:rsidP="00AE79AB">
            <w:pPr>
              <w:pStyle w:val="NormalWeb"/>
              <w:spacing w:before="120" w:beforeAutospacing="0"/>
              <w:jc w:val="center"/>
            </w:pPr>
            <w:r w:rsidRPr="007C571F">
              <w:rPr>
                <w:b/>
                <w:bCs/>
                <w:sz w:val="26"/>
                <w:szCs w:val="26"/>
              </w:rPr>
              <w:t>TÊN BÊN ĐI VAY</w:t>
            </w:r>
            <w:r>
              <w:rPr>
                <w:b/>
                <w:bCs/>
              </w:rPr>
              <w:br/>
              <w:t>-------</w:t>
            </w:r>
          </w:p>
        </w:tc>
        <w:tc>
          <w:tcPr>
            <w:tcW w:w="5508" w:type="dxa"/>
            <w:tcMar>
              <w:top w:w="0" w:type="dxa"/>
              <w:left w:w="108" w:type="dxa"/>
              <w:bottom w:w="0" w:type="dxa"/>
              <w:right w:w="108" w:type="dxa"/>
            </w:tcMar>
            <w:hideMark/>
          </w:tcPr>
          <w:p w:rsidR="009A7C98" w:rsidRDefault="009A7C98" w:rsidP="00AE79AB">
            <w:pPr>
              <w:pStyle w:val="NormalWeb"/>
              <w:spacing w:before="120" w:beforeAutospacing="0"/>
              <w:jc w:val="center"/>
            </w:pPr>
          </w:p>
        </w:tc>
      </w:tr>
    </w:tbl>
    <w:p w:rsidR="008E7171" w:rsidRDefault="008E7171" w:rsidP="009A7C98">
      <w:pPr>
        <w:pStyle w:val="NormalWeb"/>
        <w:spacing w:before="120" w:beforeAutospacing="0"/>
        <w:jc w:val="center"/>
        <w:rPr>
          <w:b/>
          <w:bCs/>
        </w:rPr>
      </w:pPr>
    </w:p>
    <w:p w:rsidR="008E7171" w:rsidRPr="007C571F" w:rsidRDefault="008E7171" w:rsidP="009A7C98">
      <w:pPr>
        <w:pStyle w:val="NormalWeb"/>
        <w:spacing w:before="120" w:beforeAutospacing="0"/>
        <w:jc w:val="center"/>
        <w:rPr>
          <w:b/>
          <w:bCs/>
          <w:sz w:val="26"/>
          <w:szCs w:val="26"/>
        </w:rPr>
      </w:pPr>
      <w:r w:rsidRPr="007C571F">
        <w:rPr>
          <w:b/>
          <w:bCs/>
          <w:sz w:val="26"/>
          <w:szCs w:val="26"/>
        </w:rPr>
        <w:t xml:space="preserve">Báo cáo việc tuân thủ các </w:t>
      </w:r>
      <w:r w:rsidR="005A6D4D" w:rsidRPr="007C571F">
        <w:rPr>
          <w:b/>
          <w:bCs/>
          <w:sz w:val="26"/>
          <w:szCs w:val="26"/>
        </w:rPr>
        <w:t xml:space="preserve">giới hạn, </w:t>
      </w:r>
      <w:r w:rsidR="008B5A71">
        <w:rPr>
          <w:b/>
          <w:bCs/>
          <w:sz w:val="26"/>
          <w:szCs w:val="26"/>
        </w:rPr>
        <w:t>tỷ lệ bảo đảm</w:t>
      </w:r>
      <w:r w:rsidRPr="007C571F">
        <w:rPr>
          <w:b/>
          <w:bCs/>
          <w:sz w:val="26"/>
          <w:szCs w:val="26"/>
        </w:rPr>
        <w:t xml:space="preserve"> an toàn</w:t>
      </w:r>
    </w:p>
    <w:tbl>
      <w:tblPr>
        <w:tblStyle w:val="TableGrid"/>
        <w:tblW w:w="13858" w:type="dxa"/>
        <w:tblLook w:val="04A0" w:firstRow="1" w:lastRow="0" w:firstColumn="1" w:lastColumn="0" w:noHBand="0" w:noVBand="1"/>
      </w:tblPr>
      <w:tblGrid>
        <w:gridCol w:w="679"/>
        <w:gridCol w:w="2123"/>
        <w:gridCol w:w="1417"/>
        <w:gridCol w:w="1418"/>
        <w:gridCol w:w="1275"/>
        <w:gridCol w:w="2694"/>
        <w:gridCol w:w="1559"/>
        <w:gridCol w:w="1228"/>
        <w:gridCol w:w="1465"/>
      </w:tblGrid>
      <w:tr w:rsidR="00726288" w:rsidRPr="007C571F" w:rsidTr="00D44625">
        <w:tc>
          <w:tcPr>
            <w:tcW w:w="679" w:type="dxa"/>
          </w:tcPr>
          <w:p w:rsidR="00726288" w:rsidRPr="007C571F" w:rsidRDefault="00726288" w:rsidP="00557B5D">
            <w:pPr>
              <w:pStyle w:val="NormalWeb"/>
              <w:spacing w:before="120" w:beforeAutospacing="0" w:after="0" w:afterAutospacing="0"/>
              <w:jc w:val="center"/>
              <w:rPr>
                <w:bCs/>
                <w:sz w:val="26"/>
                <w:szCs w:val="26"/>
              </w:rPr>
            </w:pPr>
            <w:r w:rsidRPr="007C571F">
              <w:rPr>
                <w:bCs/>
                <w:sz w:val="26"/>
                <w:szCs w:val="26"/>
              </w:rPr>
              <w:t>STT</w:t>
            </w:r>
          </w:p>
        </w:tc>
        <w:tc>
          <w:tcPr>
            <w:tcW w:w="2123" w:type="dxa"/>
          </w:tcPr>
          <w:p w:rsidR="00726288" w:rsidRPr="007C571F" w:rsidRDefault="00726288" w:rsidP="00557B5D">
            <w:pPr>
              <w:pStyle w:val="NormalWeb"/>
              <w:spacing w:before="120" w:beforeAutospacing="0" w:after="0" w:afterAutospacing="0"/>
              <w:jc w:val="center"/>
              <w:rPr>
                <w:bCs/>
                <w:sz w:val="26"/>
                <w:szCs w:val="26"/>
              </w:rPr>
            </w:pPr>
            <w:r w:rsidRPr="007C571F">
              <w:rPr>
                <w:bCs/>
                <w:sz w:val="26"/>
                <w:szCs w:val="26"/>
              </w:rPr>
              <w:t>Tên chỉ tiêu</w:t>
            </w:r>
          </w:p>
        </w:tc>
        <w:tc>
          <w:tcPr>
            <w:tcW w:w="1417" w:type="dxa"/>
          </w:tcPr>
          <w:p w:rsidR="00726288" w:rsidRPr="007C571F" w:rsidRDefault="00726288" w:rsidP="00557B5D">
            <w:pPr>
              <w:pStyle w:val="NormalWeb"/>
              <w:spacing w:before="120" w:beforeAutospacing="0" w:after="0" w:afterAutospacing="0"/>
              <w:jc w:val="center"/>
              <w:rPr>
                <w:bCs/>
                <w:sz w:val="26"/>
                <w:szCs w:val="26"/>
              </w:rPr>
            </w:pPr>
            <w:r w:rsidRPr="007C571F">
              <w:rPr>
                <w:bCs/>
                <w:sz w:val="26"/>
                <w:szCs w:val="26"/>
              </w:rPr>
              <w:t>Quy định của NHNN</w:t>
            </w:r>
          </w:p>
        </w:tc>
        <w:tc>
          <w:tcPr>
            <w:tcW w:w="1418" w:type="dxa"/>
          </w:tcPr>
          <w:p w:rsidR="00726288" w:rsidRPr="007C571F" w:rsidRDefault="00726288" w:rsidP="00557B5D">
            <w:pPr>
              <w:pStyle w:val="NormalWeb"/>
              <w:spacing w:before="120" w:beforeAutospacing="0" w:after="0" w:afterAutospacing="0"/>
              <w:jc w:val="center"/>
              <w:rPr>
                <w:b/>
                <w:bCs/>
                <w:sz w:val="26"/>
                <w:szCs w:val="26"/>
              </w:rPr>
            </w:pPr>
            <w:r w:rsidRPr="007C571F">
              <w:rPr>
                <w:bCs/>
                <w:sz w:val="26"/>
                <w:szCs w:val="26"/>
              </w:rPr>
              <w:t>Tại cuối tháng</w:t>
            </w:r>
            <w:r w:rsidRPr="007C571F">
              <w:rPr>
                <w:b/>
                <w:bCs/>
                <w:sz w:val="26"/>
                <w:szCs w:val="26"/>
              </w:rPr>
              <w:t xml:space="preserve"> …/….</w:t>
            </w:r>
          </w:p>
        </w:tc>
        <w:tc>
          <w:tcPr>
            <w:tcW w:w="1275" w:type="dxa"/>
          </w:tcPr>
          <w:p w:rsidR="00726288" w:rsidRPr="007C571F" w:rsidRDefault="00726288" w:rsidP="00557B5D">
            <w:pPr>
              <w:pStyle w:val="NormalWeb"/>
              <w:spacing w:before="120" w:beforeAutospacing="0" w:after="0" w:afterAutospacing="0"/>
              <w:jc w:val="center"/>
              <w:rPr>
                <w:b/>
                <w:bCs/>
                <w:sz w:val="26"/>
                <w:szCs w:val="26"/>
              </w:rPr>
            </w:pPr>
            <w:r w:rsidRPr="007C571F">
              <w:rPr>
                <w:bCs/>
                <w:sz w:val="26"/>
                <w:szCs w:val="26"/>
              </w:rPr>
              <w:t>Tại cuối tháng</w:t>
            </w:r>
            <w:r w:rsidRPr="007C571F">
              <w:rPr>
                <w:b/>
                <w:bCs/>
                <w:sz w:val="26"/>
                <w:szCs w:val="26"/>
              </w:rPr>
              <w:t xml:space="preserve"> …/….</w:t>
            </w:r>
          </w:p>
        </w:tc>
        <w:tc>
          <w:tcPr>
            <w:tcW w:w="2694" w:type="dxa"/>
          </w:tcPr>
          <w:p w:rsidR="00726288" w:rsidRPr="007C571F" w:rsidRDefault="00726288" w:rsidP="00557B5D">
            <w:pPr>
              <w:pStyle w:val="NormalWeb"/>
              <w:spacing w:before="120" w:beforeAutospacing="0" w:after="0" w:afterAutospacing="0"/>
              <w:jc w:val="center"/>
              <w:rPr>
                <w:b/>
                <w:bCs/>
                <w:sz w:val="26"/>
                <w:szCs w:val="26"/>
              </w:rPr>
            </w:pPr>
            <w:r w:rsidRPr="007C571F">
              <w:rPr>
                <w:bCs/>
                <w:sz w:val="26"/>
                <w:szCs w:val="26"/>
              </w:rPr>
              <w:t>Tại cuối tháng</w:t>
            </w:r>
            <w:r w:rsidRPr="007C571F">
              <w:rPr>
                <w:b/>
                <w:bCs/>
                <w:sz w:val="26"/>
                <w:szCs w:val="26"/>
              </w:rPr>
              <w:t xml:space="preserve"> .../….</w:t>
            </w:r>
          </w:p>
          <w:p w:rsidR="00726288" w:rsidRPr="007C571F" w:rsidRDefault="00726288" w:rsidP="00557B5D">
            <w:pPr>
              <w:pStyle w:val="NormalWeb"/>
              <w:spacing w:before="120" w:beforeAutospacing="0" w:after="0" w:afterAutospacing="0"/>
              <w:jc w:val="center"/>
              <w:rPr>
                <w:bCs/>
                <w:sz w:val="26"/>
                <w:szCs w:val="26"/>
              </w:rPr>
            </w:pPr>
            <w:r w:rsidRPr="007C571F">
              <w:rPr>
                <w:bCs/>
                <w:sz w:val="26"/>
                <w:szCs w:val="26"/>
              </w:rPr>
              <w:t>(tháng gần nhất trước ngày ký hợp đồng vay</w:t>
            </w:r>
            <w:r w:rsidR="00357A49" w:rsidRPr="007C571F">
              <w:rPr>
                <w:bCs/>
                <w:sz w:val="26"/>
                <w:szCs w:val="26"/>
              </w:rPr>
              <w:t>/thỏa thuận tăng kim ngạch vay</w:t>
            </w:r>
            <w:r w:rsidRPr="007C571F">
              <w:rPr>
                <w:bCs/>
                <w:sz w:val="26"/>
                <w:szCs w:val="26"/>
              </w:rPr>
              <w:t>)</w:t>
            </w:r>
          </w:p>
        </w:tc>
        <w:tc>
          <w:tcPr>
            <w:tcW w:w="1559" w:type="dxa"/>
          </w:tcPr>
          <w:p w:rsidR="00726288" w:rsidRPr="007C571F" w:rsidRDefault="00726288" w:rsidP="00557B5D">
            <w:pPr>
              <w:pStyle w:val="NormalWeb"/>
              <w:spacing w:before="120" w:beforeAutospacing="0" w:after="0" w:afterAutospacing="0"/>
              <w:jc w:val="center"/>
              <w:rPr>
                <w:b/>
                <w:bCs/>
                <w:sz w:val="26"/>
                <w:szCs w:val="26"/>
              </w:rPr>
            </w:pPr>
            <w:r w:rsidRPr="007C571F">
              <w:rPr>
                <w:bCs/>
                <w:sz w:val="26"/>
                <w:szCs w:val="26"/>
              </w:rPr>
              <w:t>Tại cuối tháng</w:t>
            </w:r>
            <w:r w:rsidRPr="007C571F">
              <w:rPr>
                <w:b/>
                <w:bCs/>
                <w:sz w:val="26"/>
                <w:szCs w:val="26"/>
              </w:rPr>
              <w:t xml:space="preserve"> …/….</w:t>
            </w:r>
          </w:p>
        </w:tc>
        <w:tc>
          <w:tcPr>
            <w:tcW w:w="1228" w:type="dxa"/>
          </w:tcPr>
          <w:p w:rsidR="00726288" w:rsidRPr="007C571F" w:rsidRDefault="00726288" w:rsidP="00557B5D">
            <w:pPr>
              <w:pStyle w:val="NormalWeb"/>
              <w:spacing w:before="120" w:beforeAutospacing="0" w:after="0" w:afterAutospacing="0"/>
              <w:jc w:val="center"/>
              <w:rPr>
                <w:bCs/>
                <w:sz w:val="26"/>
                <w:szCs w:val="26"/>
              </w:rPr>
            </w:pPr>
            <w:r w:rsidRPr="007C571F">
              <w:rPr>
                <w:bCs/>
                <w:sz w:val="26"/>
                <w:szCs w:val="26"/>
              </w:rPr>
              <w:t>…</w:t>
            </w:r>
          </w:p>
        </w:tc>
        <w:tc>
          <w:tcPr>
            <w:tcW w:w="1465" w:type="dxa"/>
          </w:tcPr>
          <w:p w:rsidR="00726288" w:rsidRPr="007C571F" w:rsidRDefault="00726288" w:rsidP="00557B5D">
            <w:pPr>
              <w:pStyle w:val="NormalWeb"/>
              <w:spacing w:before="120" w:beforeAutospacing="0" w:after="0" w:afterAutospacing="0"/>
              <w:jc w:val="center"/>
              <w:rPr>
                <w:bCs/>
                <w:sz w:val="26"/>
                <w:szCs w:val="26"/>
              </w:rPr>
            </w:pPr>
            <w:r w:rsidRPr="007C571F">
              <w:rPr>
                <w:bCs/>
                <w:sz w:val="26"/>
                <w:szCs w:val="26"/>
              </w:rPr>
              <w:t xml:space="preserve">Tại cuối tháng </w:t>
            </w:r>
          </w:p>
          <w:p w:rsidR="00726288" w:rsidRPr="007C571F" w:rsidRDefault="00726288" w:rsidP="00557B5D">
            <w:pPr>
              <w:pStyle w:val="NormalWeb"/>
              <w:spacing w:before="120" w:beforeAutospacing="0" w:after="0" w:afterAutospacing="0"/>
              <w:jc w:val="center"/>
              <w:rPr>
                <w:b/>
                <w:bCs/>
                <w:sz w:val="26"/>
                <w:szCs w:val="26"/>
              </w:rPr>
            </w:pPr>
            <w:r w:rsidRPr="007C571F">
              <w:rPr>
                <w:bCs/>
                <w:sz w:val="26"/>
                <w:szCs w:val="26"/>
              </w:rPr>
              <w:t>(tháng gần nhất trước ngày hoàn thiện hồ sơ)</w:t>
            </w:r>
          </w:p>
        </w:tc>
      </w:tr>
      <w:tr w:rsidR="00726288" w:rsidRPr="007C571F" w:rsidTr="00D44625">
        <w:tc>
          <w:tcPr>
            <w:tcW w:w="679" w:type="dxa"/>
          </w:tcPr>
          <w:p w:rsidR="00726288" w:rsidRPr="007C571F" w:rsidRDefault="00726288" w:rsidP="00557B5D">
            <w:pPr>
              <w:pStyle w:val="NormalWeb"/>
              <w:spacing w:before="120" w:beforeAutospacing="0" w:after="120" w:afterAutospacing="0"/>
              <w:jc w:val="center"/>
              <w:rPr>
                <w:bCs/>
                <w:sz w:val="26"/>
                <w:szCs w:val="26"/>
              </w:rPr>
            </w:pPr>
            <w:r w:rsidRPr="007C571F">
              <w:rPr>
                <w:bCs/>
                <w:sz w:val="26"/>
                <w:szCs w:val="26"/>
              </w:rPr>
              <w:t>(1)</w:t>
            </w:r>
          </w:p>
        </w:tc>
        <w:tc>
          <w:tcPr>
            <w:tcW w:w="2123" w:type="dxa"/>
          </w:tcPr>
          <w:p w:rsidR="00726288" w:rsidRPr="007C571F" w:rsidRDefault="00726288" w:rsidP="00557B5D">
            <w:pPr>
              <w:pStyle w:val="NormalWeb"/>
              <w:spacing w:before="120" w:beforeAutospacing="0" w:after="120" w:afterAutospacing="0"/>
              <w:jc w:val="center"/>
              <w:rPr>
                <w:bCs/>
                <w:sz w:val="26"/>
                <w:szCs w:val="26"/>
              </w:rPr>
            </w:pPr>
            <w:r w:rsidRPr="007C571F">
              <w:rPr>
                <w:bCs/>
                <w:sz w:val="26"/>
                <w:szCs w:val="26"/>
              </w:rPr>
              <w:t>(2)</w:t>
            </w:r>
          </w:p>
        </w:tc>
        <w:tc>
          <w:tcPr>
            <w:tcW w:w="1417" w:type="dxa"/>
          </w:tcPr>
          <w:p w:rsidR="00726288" w:rsidRPr="007C571F" w:rsidRDefault="00726288" w:rsidP="00557B5D">
            <w:pPr>
              <w:pStyle w:val="NormalWeb"/>
              <w:spacing w:before="120" w:beforeAutospacing="0" w:after="120" w:afterAutospacing="0"/>
              <w:jc w:val="center"/>
              <w:rPr>
                <w:bCs/>
                <w:sz w:val="26"/>
                <w:szCs w:val="26"/>
              </w:rPr>
            </w:pPr>
            <w:r w:rsidRPr="007C571F">
              <w:rPr>
                <w:bCs/>
                <w:sz w:val="26"/>
                <w:szCs w:val="26"/>
              </w:rPr>
              <w:t>(3)</w:t>
            </w:r>
          </w:p>
        </w:tc>
        <w:tc>
          <w:tcPr>
            <w:tcW w:w="1418" w:type="dxa"/>
          </w:tcPr>
          <w:p w:rsidR="00726288" w:rsidRPr="007C571F" w:rsidRDefault="00726288" w:rsidP="00557B5D">
            <w:pPr>
              <w:pStyle w:val="NormalWeb"/>
              <w:spacing w:before="120" w:beforeAutospacing="0" w:after="120" w:afterAutospacing="0"/>
              <w:jc w:val="center"/>
              <w:rPr>
                <w:bCs/>
                <w:sz w:val="26"/>
                <w:szCs w:val="26"/>
              </w:rPr>
            </w:pPr>
            <w:r w:rsidRPr="007C571F">
              <w:rPr>
                <w:bCs/>
                <w:sz w:val="26"/>
                <w:szCs w:val="26"/>
              </w:rPr>
              <w:t>(4)</w:t>
            </w:r>
          </w:p>
        </w:tc>
        <w:tc>
          <w:tcPr>
            <w:tcW w:w="1275" w:type="dxa"/>
          </w:tcPr>
          <w:p w:rsidR="00726288" w:rsidRPr="007C571F" w:rsidRDefault="00726288" w:rsidP="00557B5D">
            <w:pPr>
              <w:pStyle w:val="NormalWeb"/>
              <w:spacing w:before="120" w:beforeAutospacing="0" w:after="120" w:afterAutospacing="0"/>
              <w:jc w:val="center"/>
              <w:rPr>
                <w:bCs/>
                <w:sz w:val="26"/>
                <w:szCs w:val="26"/>
              </w:rPr>
            </w:pPr>
            <w:r w:rsidRPr="007C571F">
              <w:rPr>
                <w:bCs/>
                <w:sz w:val="26"/>
                <w:szCs w:val="26"/>
              </w:rPr>
              <w:t>(5)</w:t>
            </w:r>
          </w:p>
        </w:tc>
        <w:tc>
          <w:tcPr>
            <w:tcW w:w="2694" w:type="dxa"/>
          </w:tcPr>
          <w:p w:rsidR="00726288" w:rsidRPr="007C571F" w:rsidRDefault="00726288" w:rsidP="00557B5D">
            <w:pPr>
              <w:pStyle w:val="NormalWeb"/>
              <w:spacing w:before="120" w:beforeAutospacing="0" w:after="120" w:afterAutospacing="0"/>
              <w:jc w:val="center"/>
              <w:rPr>
                <w:bCs/>
                <w:sz w:val="26"/>
                <w:szCs w:val="26"/>
              </w:rPr>
            </w:pPr>
            <w:r w:rsidRPr="007C571F">
              <w:rPr>
                <w:bCs/>
                <w:sz w:val="26"/>
                <w:szCs w:val="26"/>
              </w:rPr>
              <w:t>(6)</w:t>
            </w:r>
          </w:p>
        </w:tc>
        <w:tc>
          <w:tcPr>
            <w:tcW w:w="1559" w:type="dxa"/>
          </w:tcPr>
          <w:p w:rsidR="00726288" w:rsidRPr="007C571F" w:rsidRDefault="00726288" w:rsidP="00557B5D">
            <w:pPr>
              <w:pStyle w:val="NormalWeb"/>
              <w:spacing w:before="120" w:beforeAutospacing="0" w:after="120" w:afterAutospacing="0"/>
              <w:jc w:val="center"/>
              <w:rPr>
                <w:bCs/>
                <w:sz w:val="26"/>
                <w:szCs w:val="26"/>
              </w:rPr>
            </w:pPr>
            <w:r w:rsidRPr="007C571F">
              <w:rPr>
                <w:bCs/>
                <w:sz w:val="26"/>
                <w:szCs w:val="26"/>
              </w:rPr>
              <w:t>(7)</w:t>
            </w:r>
          </w:p>
        </w:tc>
        <w:tc>
          <w:tcPr>
            <w:tcW w:w="1228" w:type="dxa"/>
          </w:tcPr>
          <w:p w:rsidR="00726288" w:rsidRPr="007C571F" w:rsidRDefault="00557B5D" w:rsidP="00557B5D">
            <w:pPr>
              <w:pStyle w:val="NormalWeb"/>
              <w:spacing w:before="120" w:beforeAutospacing="0" w:after="120" w:afterAutospacing="0"/>
              <w:jc w:val="center"/>
              <w:rPr>
                <w:bCs/>
                <w:sz w:val="26"/>
                <w:szCs w:val="26"/>
              </w:rPr>
            </w:pPr>
            <w:r w:rsidRPr="007C571F">
              <w:rPr>
                <w:bCs/>
                <w:sz w:val="26"/>
                <w:szCs w:val="26"/>
              </w:rPr>
              <w:t>(…)</w:t>
            </w:r>
          </w:p>
        </w:tc>
        <w:tc>
          <w:tcPr>
            <w:tcW w:w="1465" w:type="dxa"/>
          </w:tcPr>
          <w:p w:rsidR="00726288" w:rsidRPr="007C571F" w:rsidRDefault="00557B5D" w:rsidP="00557B5D">
            <w:pPr>
              <w:pStyle w:val="NormalWeb"/>
              <w:spacing w:before="120" w:beforeAutospacing="0" w:after="120" w:afterAutospacing="0"/>
              <w:jc w:val="center"/>
              <w:rPr>
                <w:bCs/>
                <w:sz w:val="26"/>
                <w:szCs w:val="26"/>
              </w:rPr>
            </w:pPr>
            <w:r w:rsidRPr="007C571F">
              <w:rPr>
                <w:bCs/>
                <w:sz w:val="26"/>
                <w:szCs w:val="26"/>
              </w:rPr>
              <w:t>(*)</w:t>
            </w:r>
          </w:p>
        </w:tc>
      </w:tr>
      <w:tr w:rsidR="00726288" w:rsidRPr="007C571F" w:rsidTr="00D44625">
        <w:tc>
          <w:tcPr>
            <w:tcW w:w="679" w:type="dxa"/>
          </w:tcPr>
          <w:p w:rsidR="00726288" w:rsidRPr="007C571F" w:rsidRDefault="00557B5D" w:rsidP="009A7C98">
            <w:pPr>
              <w:pStyle w:val="NormalWeb"/>
              <w:spacing w:before="120" w:beforeAutospacing="0"/>
              <w:jc w:val="center"/>
              <w:rPr>
                <w:bCs/>
                <w:sz w:val="26"/>
                <w:szCs w:val="26"/>
              </w:rPr>
            </w:pPr>
            <w:r w:rsidRPr="007C571F">
              <w:rPr>
                <w:bCs/>
                <w:sz w:val="26"/>
                <w:szCs w:val="26"/>
              </w:rPr>
              <w:t>1</w:t>
            </w:r>
          </w:p>
        </w:tc>
        <w:tc>
          <w:tcPr>
            <w:tcW w:w="2123" w:type="dxa"/>
          </w:tcPr>
          <w:p w:rsidR="00AB4AAE" w:rsidRPr="007C571F" w:rsidRDefault="005D4227" w:rsidP="00AB4AAE">
            <w:pPr>
              <w:pStyle w:val="NormalWeb"/>
              <w:spacing w:before="0" w:beforeAutospacing="0" w:after="0" w:afterAutospacing="0"/>
              <w:jc w:val="both"/>
              <w:rPr>
                <w:bCs/>
                <w:sz w:val="26"/>
                <w:szCs w:val="26"/>
              </w:rPr>
            </w:pPr>
            <w:r w:rsidRPr="007C571F">
              <w:rPr>
                <w:bCs/>
                <w:sz w:val="26"/>
                <w:szCs w:val="26"/>
              </w:rPr>
              <w:t>…</w:t>
            </w:r>
          </w:p>
        </w:tc>
        <w:tc>
          <w:tcPr>
            <w:tcW w:w="1417" w:type="dxa"/>
          </w:tcPr>
          <w:p w:rsidR="00726288" w:rsidRPr="007C571F" w:rsidRDefault="00726288" w:rsidP="009A7C98">
            <w:pPr>
              <w:pStyle w:val="NormalWeb"/>
              <w:spacing w:before="120" w:beforeAutospacing="0"/>
              <w:jc w:val="center"/>
              <w:rPr>
                <w:bCs/>
                <w:sz w:val="26"/>
                <w:szCs w:val="26"/>
              </w:rPr>
            </w:pPr>
          </w:p>
        </w:tc>
        <w:tc>
          <w:tcPr>
            <w:tcW w:w="1418" w:type="dxa"/>
          </w:tcPr>
          <w:p w:rsidR="00726288" w:rsidRPr="007C571F" w:rsidRDefault="00726288" w:rsidP="009A7C98">
            <w:pPr>
              <w:pStyle w:val="NormalWeb"/>
              <w:spacing w:before="120" w:beforeAutospacing="0"/>
              <w:jc w:val="center"/>
              <w:rPr>
                <w:bCs/>
                <w:sz w:val="26"/>
                <w:szCs w:val="26"/>
              </w:rPr>
            </w:pPr>
          </w:p>
        </w:tc>
        <w:tc>
          <w:tcPr>
            <w:tcW w:w="1275" w:type="dxa"/>
          </w:tcPr>
          <w:p w:rsidR="00726288" w:rsidRPr="007C571F" w:rsidRDefault="00726288" w:rsidP="009A7C98">
            <w:pPr>
              <w:pStyle w:val="NormalWeb"/>
              <w:spacing w:before="120" w:beforeAutospacing="0"/>
              <w:jc w:val="center"/>
              <w:rPr>
                <w:bCs/>
                <w:sz w:val="26"/>
                <w:szCs w:val="26"/>
              </w:rPr>
            </w:pPr>
          </w:p>
        </w:tc>
        <w:tc>
          <w:tcPr>
            <w:tcW w:w="2694" w:type="dxa"/>
          </w:tcPr>
          <w:p w:rsidR="00726288" w:rsidRPr="007C571F" w:rsidRDefault="00726288" w:rsidP="009A7C98">
            <w:pPr>
              <w:pStyle w:val="NormalWeb"/>
              <w:spacing w:before="120" w:beforeAutospacing="0"/>
              <w:jc w:val="center"/>
              <w:rPr>
                <w:bCs/>
                <w:sz w:val="26"/>
                <w:szCs w:val="26"/>
              </w:rPr>
            </w:pPr>
          </w:p>
        </w:tc>
        <w:tc>
          <w:tcPr>
            <w:tcW w:w="1559" w:type="dxa"/>
          </w:tcPr>
          <w:p w:rsidR="00726288" w:rsidRPr="007C571F" w:rsidRDefault="00726288" w:rsidP="009A7C98">
            <w:pPr>
              <w:pStyle w:val="NormalWeb"/>
              <w:spacing w:before="120" w:beforeAutospacing="0"/>
              <w:jc w:val="center"/>
              <w:rPr>
                <w:bCs/>
                <w:sz w:val="26"/>
                <w:szCs w:val="26"/>
              </w:rPr>
            </w:pPr>
          </w:p>
        </w:tc>
        <w:tc>
          <w:tcPr>
            <w:tcW w:w="1228" w:type="dxa"/>
          </w:tcPr>
          <w:p w:rsidR="00726288" w:rsidRPr="007C571F" w:rsidRDefault="00726288" w:rsidP="009A7C98">
            <w:pPr>
              <w:pStyle w:val="NormalWeb"/>
              <w:spacing w:before="120" w:beforeAutospacing="0"/>
              <w:jc w:val="center"/>
              <w:rPr>
                <w:bCs/>
                <w:sz w:val="26"/>
                <w:szCs w:val="26"/>
              </w:rPr>
            </w:pPr>
          </w:p>
        </w:tc>
        <w:tc>
          <w:tcPr>
            <w:tcW w:w="1465" w:type="dxa"/>
          </w:tcPr>
          <w:p w:rsidR="00726288" w:rsidRPr="007C571F" w:rsidRDefault="00726288" w:rsidP="009A7C98">
            <w:pPr>
              <w:pStyle w:val="NormalWeb"/>
              <w:spacing w:before="120" w:beforeAutospacing="0"/>
              <w:jc w:val="center"/>
              <w:rPr>
                <w:bCs/>
                <w:sz w:val="26"/>
                <w:szCs w:val="26"/>
              </w:rPr>
            </w:pPr>
          </w:p>
        </w:tc>
      </w:tr>
      <w:tr w:rsidR="00726288" w:rsidRPr="007C571F" w:rsidTr="00D44625">
        <w:tc>
          <w:tcPr>
            <w:tcW w:w="679" w:type="dxa"/>
          </w:tcPr>
          <w:p w:rsidR="00726288" w:rsidRPr="007C571F" w:rsidRDefault="00557B5D" w:rsidP="009A7C98">
            <w:pPr>
              <w:pStyle w:val="NormalWeb"/>
              <w:spacing w:before="120" w:beforeAutospacing="0"/>
              <w:jc w:val="center"/>
              <w:rPr>
                <w:bCs/>
                <w:sz w:val="26"/>
                <w:szCs w:val="26"/>
              </w:rPr>
            </w:pPr>
            <w:r w:rsidRPr="007C571F">
              <w:rPr>
                <w:bCs/>
                <w:sz w:val="26"/>
                <w:szCs w:val="26"/>
              </w:rPr>
              <w:t>2</w:t>
            </w:r>
          </w:p>
        </w:tc>
        <w:tc>
          <w:tcPr>
            <w:tcW w:w="2123" w:type="dxa"/>
          </w:tcPr>
          <w:p w:rsidR="00AB4AAE" w:rsidRPr="007C571F" w:rsidRDefault="00AB4AAE" w:rsidP="00AB4AAE">
            <w:pPr>
              <w:pStyle w:val="NormalWeb"/>
              <w:spacing w:before="0" w:beforeAutospacing="0" w:after="0" w:afterAutospacing="0"/>
              <w:jc w:val="both"/>
              <w:rPr>
                <w:bCs/>
                <w:sz w:val="26"/>
                <w:szCs w:val="26"/>
              </w:rPr>
            </w:pPr>
          </w:p>
        </w:tc>
        <w:tc>
          <w:tcPr>
            <w:tcW w:w="1417" w:type="dxa"/>
          </w:tcPr>
          <w:p w:rsidR="00726288" w:rsidRPr="007C571F" w:rsidRDefault="00726288" w:rsidP="009A7C98">
            <w:pPr>
              <w:pStyle w:val="NormalWeb"/>
              <w:spacing w:before="120" w:beforeAutospacing="0"/>
              <w:jc w:val="center"/>
              <w:rPr>
                <w:bCs/>
                <w:sz w:val="26"/>
                <w:szCs w:val="26"/>
              </w:rPr>
            </w:pPr>
          </w:p>
        </w:tc>
        <w:tc>
          <w:tcPr>
            <w:tcW w:w="1418" w:type="dxa"/>
          </w:tcPr>
          <w:p w:rsidR="00726288" w:rsidRPr="007C571F" w:rsidRDefault="00726288" w:rsidP="009A7C98">
            <w:pPr>
              <w:pStyle w:val="NormalWeb"/>
              <w:spacing w:before="120" w:beforeAutospacing="0"/>
              <w:jc w:val="center"/>
              <w:rPr>
                <w:bCs/>
                <w:sz w:val="26"/>
                <w:szCs w:val="26"/>
              </w:rPr>
            </w:pPr>
          </w:p>
        </w:tc>
        <w:tc>
          <w:tcPr>
            <w:tcW w:w="1275" w:type="dxa"/>
          </w:tcPr>
          <w:p w:rsidR="00726288" w:rsidRPr="007C571F" w:rsidRDefault="00726288" w:rsidP="009A7C98">
            <w:pPr>
              <w:pStyle w:val="NormalWeb"/>
              <w:spacing w:before="120" w:beforeAutospacing="0"/>
              <w:jc w:val="center"/>
              <w:rPr>
                <w:bCs/>
                <w:sz w:val="26"/>
                <w:szCs w:val="26"/>
              </w:rPr>
            </w:pPr>
          </w:p>
        </w:tc>
        <w:tc>
          <w:tcPr>
            <w:tcW w:w="2694" w:type="dxa"/>
          </w:tcPr>
          <w:p w:rsidR="00726288" w:rsidRPr="007C571F" w:rsidRDefault="00726288" w:rsidP="009A7C98">
            <w:pPr>
              <w:pStyle w:val="NormalWeb"/>
              <w:spacing w:before="120" w:beforeAutospacing="0"/>
              <w:jc w:val="center"/>
              <w:rPr>
                <w:bCs/>
                <w:sz w:val="26"/>
                <w:szCs w:val="26"/>
              </w:rPr>
            </w:pPr>
          </w:p>
        </w:tc>
        <w:tc>
          <w:tcPr>
            <w:tcW w:w="1559" w:type="dxa"/>
          </w:tcPr>
          <w:p w:rsidR="00726288" w:rsidRPr="007C571F" w:rsidRDefault="00726288" w:rsidP="009A7C98">
            <w:pPr>
              <w:pStyle w:val="NormalWeb"/>
              <w:spacing w:before="120" w:beforeAutospacing="0"/>
              <w:jc w:val="center"/>
              <w:rPr>
                <w:bCs/>
                <w:sz w:val="26"/>
                <w:szCs w:val="26"/>
              </w:rPr>
            </w:pPr>
          </w:p>
        </w:tc>
        <w:tc>
          <w:tcPr>
            <w:tcW w:w="1228" w:type="dxa"/>
          </w:tcPr>
          <w:p w:rsidR="00726288" w:rsidRPr="007C571F" w:rsidRDefault="00726288" w:rsidP="009A7C98">
            <w:pPr>
              <w:pStyle w:val="NormalWeb"/>
              <w:spacing w:before="120" w:beforeAutospacing="0"/>
              <w:jc w:val="center"/>
              <w:rPr>
                <w:bCs/>
                <w:sz w:val="26"/>
                <w:szCs w:val="26"/>
              </w:rPr>
            </w:pPr>
          </w:p>
        </w:tc>
        <w:tc>
          <w:tcPr>
            <w:tcW w:w="1465" w:type="dxa"/>
          </w:tcPr>
          <w:p w:rsidR="00726288" w:rsidRPr="007C571F" w:rsidRDefault="00726288" w:rsidP="009A7C98">
            <w:pPr>
              <w:pStyle w:val="NormalWeb"/>
              <w:spacing w:before="120" w:beforeAutospacing="0"/>
              <w:jc w:val="center"/>
              <w:rPr>
                <w:bCs/>
                <w:sz w:val="26"/>
                <w:szCs w:val="26"/>
              </w:rPr>
            </w:pPr>
          </w:p>
        </w:tc>
      </w:tr>
      <w:tr w:rsidR="00726288" w:rsidRPr="007C571F" w:rsidTr="00D44625">
        <w:tc>
          <w:tcPr>
            <w:tcW w:w="679" w:type="dxa"/>
          </w:tcPr>
          <w:p w:rsidR="00726288" w:rsidRPr="007C571F" w:rsidRDefault="00632F58" w:rsidP="009A7C98">
            <w:pPr>
              <w:pStyle w:val="NormalWeb"/>
              <w:spacing w:before="120" w:beforeAutospacing="0"/>
              <w:jc w:val="center"/>
              <w:rPr>
                <w:bCs/>
                <w:sz w:val="26"/>
                <w:szCs w:val="26"/>
              </w:rPr>
            </w:pPr>
            <w:r w:rsidRPr="007C571F">
              <w:rPr>
                <w:bCs/>
                <w:sz w:val="26"/>
                <w:szCs w:val="26"/>
              </w:rPr>
              <w:t>…</w:t>
            </w:r>
          </w:p>
        </w:tc>
        <w:tc>
          <w:tcPr>
            <w:tcW w:w="2123" w:type="dxa"/>
          </w:tcPr>
          <w:p w:rsidR="00AB4AAE" w:rsidRPr="007C571F" w:rsidRDefault="00AB4AAE" w:rsidP="00AB4AAE">
            <w:pPr>
              <w:pStyle w:val="NormalWeb"/>
              <w:spacing w:before="0" w:beforeAutospacing="0" w:after="0" w:afterAutospacing="0"/>
              <w:jc w:val="both"/>
              <w:rPr>
                <w:bCs/>
                <w:sz w:val="26"/>
                <w:szCs w:val="26"/>
              </w:rPr>
            </w:pPr>
          </w:p>
        </w:tc>
        <w:tc>
          <w:tcPr>
            <w:tcW w:w="1417" w:type="dxa"/>
          </w:tcPr>
          <w:p w:rsidR="00726288" w:rsidRPr="007C571F" w:rsidRDefault="00726288" w:rsidP="009A7C98">
            <w:pPr>
              <w:pStyle w:val="NormalWeb"/>
              <w:spacing w:before="120" w:beforeAutospacing="0"/>
              <w:jc w:val="center"/>
              <w:rPr>
                <w:bCs/>
                <w:sz w:val="26"/>
                <w:szCs w:val="26"/>
              </w:rPr>
            </w:pPr>
          </w:p>
        </w:tc>
        <w:tc>
          <w:tcPr>
            <w:tcW w:w="1418" w:type="dxa"/>
          </w:tcPr>
          <w:p w:rsidR="00726288" w:rsidRPr="007C571F" w:rsidRDefault="00726288" w:rsidP="009A7C98">
            <w:pPr>
              <w:pStyle w:val="NormalWeb"/>
              <w:spacing w:before="120" w:beforeAutospacing="0"/>
              <w:jc w:val="center"/>
              <w:rPr>
                <w:bCs/>
                <w:sz w:val="26"/>
                <w:szCs w:val="26"/>
              </w:rPr>
            </w:pPr>
          </w:p>
        </w:tc>
        <w:tc>
          <w:tcPr>
            <w:tcW w:w="1275" w:type="dxa"/>
          </w:tcPr>
          <w:p w:rsidR="00726288" w:rsidRPr="007C571F" w:rsidRDefault="00726288" w:rsidP="009A7C98">
            <w:pPr>
              <w:pStyle w:val="NormalWeb"/>
              <w:spacing w:before="120" w:beforeAutospacing="0"/>
              <w:jc w:val="center"/>
              <w:rPr>
                <w:bCs/>
                <w:sz w:val="26"/>
                <w:szCs w:val="26"/>
              </w:rPr>
            </w:pPr>
          </w:p>
        </w:tc>
        <w:tc>
          <w:tcPr>
            <w:tcW w:w="2694" w:type="dxa"/>
          </w:tcPr>
          <w:p w:rsidR="00726288" w:rsidRPr="007C571F" w:rsidRDefault="00726288" w:rsidP="009A7C98">
            <w:pPr>
              <w:pStyle w:val="NormalWeb"/>
              <w:spacing w:before="120" w:beforeAutospacing="0"/>
              <w:jc w:val="center"/>
              <w:rPr>
                <w:bCs/>
                <w:sz w:val="26"/>
                <w:szCs w:val="26"/>
              </w:rPr>
            </w:pPr>
          </w:p>
        </w:tc>
        <w:tc>
          <w:tcPr>
            <w:tcW w:w="1559" w:type="dxa"/>
          </w:tcPr>
          <w:p w:rsidR="00726288" w:rsidRPr="007C571F" w:rsidRDefault="00726288" w:rsidP="009A7C98">
            <w:pPr>
              <w:pStyle w:val="NormalWeb"/>
              <w:spacing w:before="120" w:beforeAutospacing="0"/>
              <w:jc w:val="center"/>
              <w:rPr>
                <w:bCs/>
                <w:sz w:val="26"/>
                <w:szCs w:val="26"/>
              </w:rPr>
            </w:pPr>
          </w:p>
        </w:tc>
        <w:tc>
          <w:tcPr>
            <w:tcW w:w="1228" w:type="dxa"/>
          </w:tcPr>
          <w:p w:rsidR="00726288" w:rsidRPr="007C571F" w:rsidRDefault="00726288" w:rsidP="009A7C98">
            <w:pPr>
              <w:pStyle w:val="NormalWeb"/>
              <w:spacing w:before="120" w:beforeAutospacing="0"/>
              <w:jc w:val="center"/>
              <w:rPr>
                <w:bCs/>
                <w:sz w:val="26"/>
                <w:szCs w:val="26"/>
              </w:rPr>
            </w:pPr>
          </w:p>
        </w:tc>
        <w:tc>
          <w:tcPr>
            <w:tcW w:w="1465" w:type="dxa"/>
          </w:tcPr>
          <w:p w:rsidR="00726288" w:rsidRPr="007C571F" w:rsidRDefault="00726288" w:rsidP="009A7C98">
            <w:pPr>
              <w:pStyle w:val="NormalWeb"/>
              <w:spacing w:before="120" w:beforeAutospacing="0"/>
              <w:jc w:val="center"/>
              <w:rPr>
                <w:bCs/>
                <w:sz w:val="26"/>
                <w:szCs w:val="26"/>
              </w:rPr>
            </w:pPr>
          </w:p>
        </w:tc>
      </w:tr>
    </w:tbl>
    <w:p w:rsidR="007C571F" w:rsidRDefault="007C571F" w:rsidP="000A51A0">
      <w:pPr>
        <w:pStyle w:val="NormalWeb"/>
        <w:spacing w:before="120" w:beforeAutospacing="0" w:after="120" w:afterAutospacing="0"/>
        <w:jc w:val="both"/>
        <w:rPr>
          <w:b/>
          <w:bCs/>
          <w:sz w:val="26"/>
          <w:szCs w:val="26"/>
        </w:rPr>
      </w:pPr>
    </w:p>
    <w:p w:rsidR="00112350" w:rsidRPr="007C571F" w:rsidRDefault="00112350" w:rsidP="000A51A0">
      <w:pPr>
        <w:pStyle w:val="NormalWeb"/>
        <w:spacing w:before="120" w:beforeAutospacing="0" w:after="120" w:afterAutospacing="0"/>
        <w:jc w:val="both"/>
        <w:rPr>
          <w:b/>
          <w:bCs/>
          <w:sz w:val="26"/>
          <w:szCs w:val="26"/>
        </w:rPr>
      </w:pPr>
      <w:r w:rsidRPr="007C571F">
        <w:rPr>
          <w:b/>
          <w:bCs/>
          <w:sz w:val="26"/>
          <w:szCs w:val="26"/>
        </w:rPr>
        <w:t>* Ghi chú:</w:t>
      </w:r>
    </w:p>
    <w:p w:rsidR="00632F58" w:rsidRDefault="00112350" w:rsidP="000A51A0">
      <w:pPr>
        <w:pStyle w:val="NormalWeb"/>
        <w:spacing w:before="120" w:beforeAutospacing="0" w:after="120" w:afterAutospacing="0"/>
        <w:jc w:val="both"/>
        <w:rPr>
          <w:bCs/>
          <w:sz w:val="26"/>
          <w:szCs w:val="26"/>
        </w:rPr>
      </w:pPr>
      <w:r w:rsidRPr="007C571F">
        <w:rPr>
          <w:bCs/>
          <w:sz w:val="26"/>
          <w:szCs w:val="26"/>
        </w:rPr>
        <w:t>Trường hợ</w:t>
      </w:r>
      <w:r w:rsidR="008C716E">
        <w:rPr>
          <w:bCs/>
          <w:sz w:val="26"/>
          <w:szCs w:val="26"/>
        </w:rPr>
        <w:t>p b</w:t>
      </w:r>
      <w:r w:rsidR="00BA031D" w:rsidRPr="007C571F">
        <w:rPr>
          <w:bCs/>
          <w:sz w:val="26"/>
          <w:szCs w:val="26"/>
        </w:rPr>
        <w:t xml:space="preserve">ên đi vay chưa tuân thủ quy định về các giới hạn, </w:t>
      </w:r>
      <w:r w:rsidR="008B5A71">
        <w:rPr>
          <w:bCs/>
          <w:sz w:val="26"/>
          <w:szCs w:val="26"/>
        </w:rPr>
        <w:t>tỷ lệ bảo đảm</w:t>
      </w:r>
      <w:r w:rsidR="00BA031D" w:rsidRPr="007C571F">
        <w:rPr>
          <w:bCs/>
          <w:sz w:val="26"/>
          <w:szCs w:val="26"/>
        </w:rPr>
        <w:t xml:space="preserve"> an toàn trong hoạt động của TCTD, chi nhánh ngân hàng nước ngoài song việc chưa tuân thủ đã được Thủ tướng Chính phủ hoặc Thống đốc Ngân hàng Nhà nước chấp thuận theo quy định của pháp luậ</w:t>
      </w:r>
      <w:r w:rsidR="008C716E">
        <w:rPr>
          <w:bCs/>
          <w:sz w:val="26"/>
          <w:szCs w:val="26"/>
        </w:rPr>
        <w:t>t, b</w:t>
      </w:r>
      <w:r w:rsidR="00BA031D" w:rsidRPr="007C571F">
        <w:rPr>
          <w:bCs/>
          <w:sz w:val="26"/>
          <w:szCs w:val="26"/>
        </w:rPr>
        <w:t xml:space="preserve">ên đi vay nêu rõ tỷ lệ chưa tuân thủ, liệt kê </w:t>
      </w:r>
      <w:r w:rsidR="00F642D8" w:rsidRPr="007C571F">
        <w:rPr>
          <w:bCs/>
          <w:sz w:val="26"/>
          <w:szCs w:val="26"/>
        </w:rPr>
        <w:t>đầy đủ</w:t>
      </w:r>
      <w:r w:rsidR="0034738C">
        <w:rPr>
          <w:bCs/>
          <w:sz w:val="26"/>
          <w:szCs w:val="26"/>
        </w:rPr>
        <w:t xml:space="preserve"> </w:t>
      </w:r>
      <w:r w:rsidR="00F642D8" w:rsidRPr="007C571F">
        <w:rPr>
          <w:bCs/>
          <w:sz w:val="26"/>
          <w:szCs w:val="26"/>
        </w:rPr>
        <w:t xml:space="preserve">(các) </w:t>
      </w:r>
      <w:r w:rsidR="00BA031D" w:rsidRPr="007C571F">
        <w:rPr>
          <w:bCs/>
          <w:sz w:val="26"/>
          <w:szCs w:val="26"/>
        </w:rPr>
        <w:t>văn bản chấp thuận của Thủ tướng Chính phủ hoặc Thống đốc Ngân hàng Nhà nước.</w:t>
      </w:r>
    </w:p>
    <w:p w:rsidR="00C44BB1" w:rsidRDefault="00C44BB1" w:rsidP="000A51A0">
      <w:pPr>
        <w:pStyle w:val="NormalWeb"/>
        <w:spacing w:before="120" w:beforeAutospacing="0" w:after="120" w:afterAutospacing="0"/>
        <w:jc w:val="both"/>
        <w:rPr>
          <w:bCs/>
          <w:sz w:val="26"/>
          <w:szCs w:val="26"/>
        </w:rPr>
      </w:pPr>
    </w:p>
    <w:p w:rsidR="00E178DC" w:rsidRPr="007C571F" w:rsidRDefault="00E178DC" w:rsidP="000A51A0">
      <w:pPr>
        <w:pStyle w:val="NormalWeb"/>
        <w:spacing w:before="120" w:beforeAutospacing="0" w:after="120" w:afterAutospacing="0"/>
        <w:jc w:val="both"/>
        <w:rPr>
          <w:bCs/>
          <w:sz w:val="26"/>
          <w:szCs w:val="26"/>
        </w:rPr>
      </w:pPr>
    </w:p>
    <w:p w:rsidR="008E7171" w:rsidRPr="007C571F" w:rsidRDefault="003A493C" w:rsidP="000A51A0">
      <w:pPr>
        <w:pStyle w:val="NormalWeb"/>
        <w:spacing w:before="120" w:beforeAutospacing="0" w:after="120" w:afterAutospacing="0"/>
        <w:jc w:val="both"/>
        <w:rPr>
          <w:b/>
          <w:bCs/>
          <w:sz w:val="26"/>
          <w:szCs w:val="26"/>
        </w:rPr>
      </w:pPr>
      <w:r w:rsidRPr="007C571F">
        <w:rPr>
          <w:b/>
          <w:bCs/>
          <w:sz w:val="26"/>
          <w:szCs w:val="26"/>
        </w:rPr>
        <w:lastRenderedPageBreak/>
        <w:t>Hướng dẫn lập báo cáo:</w:t>
      </w:r>
    </w:p>
    <w:p w:rsidR="00BF705F" w:rsidRPr="007C571F" w:rsidRDefault="00BF705F" w:rsidP="000A51A0">
      <w:pPr>
        <w:pStyle w:val="NormalWeb"/>
        <w:spacing w:before="120" w:beforeAutospacing="0" w:after="120" w:afterAutospacing="0"/>
        <w:jc w:val="both"/>
        <w:rPr>
          <w:bCs/>
          <w:sz w:val="26"/>
          <w:szCs w:val="26"/>
        </w:rPr>
      </w:pPr>
      <w:r w:rsidRPr="007C571F">
        <w:rPr>
          <w:bCs/>
          <w:sz w:val="26"/>
          <w:szCs w:val="26"/>
        </w:rPr>
        <w:t xml:space="preserve">- Cột (2): Các </w:t>
      </w:r>
      <w:r w:rsidR="008B5A71">
        <w:rPr>
          <w:bCs/>
          <w:sz w:val="26"/>
          <w:szCs w:val="26"/>
        </w:rPr>
        <w:t>tỷ lệ bảo đảm</w:t>
      </w:r>
      <w:r w:rsidRPr="007C571F">
        <w:rPr>
          <w:bCs/>
          <w:sz w:val="26"/>
          <w:szCs w:val="26"/>
        </w:rPr>
        <w:t xml:space="preserve"> an toàn theo quy định tại Điều 130 Luật các tổ chức tín dụng </w:t>
      </w:r>
    </w:p>
    <w:p w:rsidR="000A51A0" w:rsidRPr="007C571F" w:rsidRDefault="000A51A0" w:rsidP="000A51A0">
      <w:pPr>
        <w:pStyle w:val="NormalWeb"/>
        <w:spacing w:before="120" w:beforeAutospacing="0" w:after="120" w:afterAutospacing="0"/>
        <w:jc w:val="both"/>
        <w:rPr>
          <w:bCs/>
          <w:sz w:val="26"/>
          <w:szCs w:val="26"/>
        </w:rPr>
      </w:pPr>
      <w:r w:rsidRPr="007C571F">
        <w:rPr>
          <w:bCs/>
          <w:sz w:val="26"/>
          <w:szCs w:val="26"/>
        </w:rPr>
        <w:t>- Cột (3):</w:t>
      </w:r>
      <w:r w:rsidR="0034738C">
        <w:rPr>
          <w:bCs/>
          <w:sz w:val="26"/>
          <w:szCs w:val="26"/>
        </w:rPr>
        <w:t xml:space="preserve"> </w:t>
      </w:r>
      <w:r w:rsidRPr="007C571F">
        <w:rPr>
          <w:bCs/>
          <w:sz w:val="26"/>
          <w:szCs w:val="26"/>
        </w:rPr>
        <w:t xml:space="preserve">quy định của Ngân hàng Nhà nước đối với từng tỷ lệ tại Cột (2) theo văn bản hướng dẫn của Ngân hàng Nhà nước </w:t>
      </w:r>
      <w:r w:rsidR="00E90C28" w:rsidRPr="007C571F">
        <w:rPr>
          <w:bCs/>
          <w:sz w:val="26"/>
          <w:szCs w:val="26"/>
        </w:rPr>
        <w:t xml:space="preserve">đang có hiệu lực thi hành </w:t>
      </w:r>
      <w:r w:rsidRPr="007C571F">
        <w:rPr>
          <w:bCs/>
          <w:sz w:val="26"/>
          <w:szCs w:val="26"/>
        </w:rPr>
        <w:t>tại thời điểm nộp hồ sơ đăng ký khoản vay nước ngoài.</w:t>
      </w:r>
    </w:p>
    <w:p w:rsidR="003A493C" w:rsidRPr="007C571F" w:rsidRDefault="000A51A0" w:rsidP="000A51A0">
      <w:pPr>
        <w:pStyle w:val="NormalWeb"/>
        <w:spacing w:before="120" w:beforeAutospacing="0" w:after="120" w:afterAutospacing="0"/>
        <w:jc w:val="both"/>
        <w:rPr>
          <w:bCs/>
          <w:sz w:val="26"/>
          <w:szCs w:val="26"/>
        </w:rPr>
      </w:pPr>
      <w:r w:rsidRPr="007C571F">
        <w:rPr>
          <w:bCs/>
          <w:sz w:val="26"/>
          <w:szCs w:val="26"/>
        </w:rPr>
        <w:t xml:space="preserve">- </w:t>
      </w:r>
      <w:r w:rsidR="003A493C" w:rsidRPr="007C571F">
        <w:rPr>
          <w:bCs/>
          <w:sz w:val="26"/>
          <w:szCs w:val="26"/>
        </w:rPr>
        <w:t>Cột (4) (5) (6)</w:t>
      </w:r>
      <w:r w:rsidRPr="007C571F">
        <w:rPr>
          <w:bCs/>
          <w:sz w:val="26"/>
          <w:szCs w:val="26"/>
        </w:rPr>
        <w:t xml:space="preserve">: là các tỷ lệ bảo đảm an toàn tại thời điểm cuối tháng trong giai đoạn </w:t>
      </w:r>
      <w:r w:rsidR="00A75FAB">
        <w:rPr>
          <w:bCs/>
          <w:sz w:val="26"/>
          <w:szCs w:val="26"/>
        </w:rPr>
        <w:t>03</w:t>
      </w:r>
      <w:r w:rsidRPr="007C571F">
        <w:rPr>
          <w:bCs/>
          <w:sz w:val="26"/>
          <w:szCs w:val="26"/>
        </w:rPr>
        <w:t xml:space="preserve"> tháng gần nhất trước ngày ký </w:t>
      </w:r>
      <w:r w:rsidR="000F594F">
        <w:rPr>
          <w:bCs/>
          <w:sz w:val="26"/>
          <w:szCs w:val="26"/>
        </w:rPr>
        <w:t>thỏa thuận</w:t>
      </w:r>
      <w:r w:rsidR="0034738C">
        <w:rPr>
          <w:bCs/>
          <w:sz w:val="26"/>
          <w:szCs w:val="26"/>
        </w:rPr>
        <w:t xml:space="preserve"> vay</w:t>
      </w:r>
      <w:r w:rsidRPr="007C571F">
        <w:rPr>
          <w:bCs/>
          <w:sz w:val="26"/>
          <w:szCs w:val="26"/>
        </w:rPr>
        <w:t>.</w:t>
      </w:r>
    </w:p>
    <w:p w:rsidR="000A51A0" w:rsidRPr="007C571F" w:rsidRDefault="000A51A0" w:rsidP="000A51A0">
      <w:pPr>
        <w:pStyle w:val="NormalWeb"/>
        <w:spacing w:before="120" w:beforeAutospacing="0" w:after="120" w:afterAutospacing="0"/>
        <w:jc w:val="both"/>
        <w:rPr>
          <w:bCs/>
          <w:sz w:val="26"/>
          <w:szCs w:val="26"/>
        </w:rPr>
      </w:pPr>
      <w:r w:rsidRPr="007C571F">
        <w:rPr>
          <w:bCs/>
          <w:sz w:val="26"/>
          <w:szCs w:val="26"/>
        </w:rPr>
        <w:t>- Cột (7), (…)</w:t>
      </w:r>
      <w:r w:rsidR="00E26200" w:rsidRPr="007C571F">
        <w:rPr>
          <w:bCs/>
          <w:sz w:val="26"/>
          <w:szCs w:val="26"/>
        </w:rPr>
        <w:t xml:space="preserve"> (*)</w:t>
      </w:r>
      <w:r w:rsidRPr="007C571F">
        <w:rPr>
          <w:bCs/>
          <w:sz w:val="26"/>
          <w:szCs w:val="26"/>
        </w:rPr>
        <w:t xml:space="preserve">: là các tỷ lệ bảo đảm an toàn tại thời điểm cuối tháng của các tháng liên tục từ ngày ký </w:t>
      </w:r>
      <w:r w:rsidR="000F594F">
        <w:rPr>
          <w:bCs/>
          <w:sz w:val="26"/>
          <w:szCs w:val="26"/>
        </w:rPr>
        <w:t>thỏa thuận</w:t>
      </w:r>
      <w:r w:rsidR="00357A49" w:rsidRPr="007C571F">
        <w:rPr>
          <w:bCs/>
          <w:sz w:val="26"/>
          <w:szCs w:val="26"/>
        </w:rPr>
        <w:t xml:space="preserve"> vay/thỏa thuận tăng kim ngạch vay</w:t>
      </w:r>
      <w:r w:rsidRPr="007C571F">
        <w:rPr>
          <w:bCs/>
          <w:sz w:val="26"/>
          <w:szCs w:val="26"/>
        </w:rPr>
        <w:t xml:space="preserve"> đến ngày nộp hồ sơ đầy đủ, hợp lệ.</w:t>
      </w:r>
    </w:p>
    <w:p w:rsidR="000A51A0" w:rsidRPr="007C571F" w:rsidRDefault="000A51A0" w:rsidP="003A493C">
      <w:pPr>
        <w:pStyle w:val="NormalWeb"/>
        <w:spacing w:before="120" w:beforeAutospacing="0"/>
        <w:jc w:val="both"/>
        <w:rPr>
          <w:bCs/>
          <w:sz w:val="26"/>
          <w:szCs w:val="26"/>
        </w:rPr>
      </w:pPr>
      <w:r w:rsidRPr="007C571F">
        <w:rPr>
          <w:bCs/>
          <w:sz w:val="26"/>
          <w:szCs w:val="26"/>
        </w:rPr>
        <w:t xml:space="preserve">Ví dụ: </w:t>
      </w:r>
      <w:r w:rsidR="000F594F">
        <w:rPr>
          <w:bCs/>
          <w:sz w:val="26"/>
          <w:szCs w:val="26"/>
        </w:rPr>
        <w:t>Thỏa thuận</w:t>
      </w:r>
      <w:r w:rsidRPr="007C571F">
        <w:rPr>
          <w:bCs/>
          <w:sz w:val="26"/>
          <w:szCs w:val="26"/>
        </w:rPr>
        <w:t xml:space="preserve"> vay ký n</w:t>
      </w:r>
      <w:r w:rsidR="008C716E">
        <w:rPr>
          <w:bCs/>
          <w:sz w:val="26"/>
          <w:szCs w:val="26"/>
        </w:rPr>
        <w:t>gày 23/3/2020. Ngày 20/4/2020, b</w:t>
      </w:r>
      <w:r w:rsidRPr="007C571F">
        <w:rPr>
          <w:bCs/>
          <w:sz w:val="26"/>
          <w:szCs w:val="26"/>
        </w:rPr>
        <w:t>ên đi vay nộp hồ sơ đăng ký khoản vay nước ngoài theo quy đị</w:t>
      </w:r>
      <w:r w:rsidR="008C716E">
        <w:rPr>
          <w:bCs/>
          <w:sz w:val="26"/>
          <w:szCs w:val="26"/>
        </w:rPr>
        <w:t>nh. Ngày 05/6/2020, b</w:t>
      </w:r>
      <w:r w:rsidRPr="007C571F">
        <w:rPr>
          <w:bCs/>
          <w:sz w:val="26"/>
          <w:szCs w:val="26"/>
        </w:rPr>
        <w:t xml:space="preserve">ên đi vay nộp hồ sơ đầy đủ, hợp lệ theo các Phiếu hướng dẫn hoàn thiện hồ sơ, công văn làm rõ và các văn bản có giá trị tương đương …. Như vậy, các tháng cần báo cáo về tỷ lệ bảo đảm an toàn sẽ bao gồm: báo cáo </w:t>
      </w:r>
      <w:r w:rsidR="008B5A71">
        <w:rPr>
          <w:bCs/>
          <w:sz w:val="26"/>
          <w:szCs w:val="26"/>
        </w:rPr>
        <w:t>tỷ lệ bảo đảm</w:t>
      </w:r>
      <w:r w:rsidRPr="007C571F">
        <w:rPr>
          <w:bCs/>
          <w:sz w:val="26"/>
          <w:szCs w:val="26"/>
        </w:rPr>
        <w:t xml:space="preserve"> an toàn tại thời điểm </w:t>
      </w:r>
      <w:r w:rsidR="00C745D1">
        <w:rPr>
          <w:bCs/>
          <w:sz w:val="26"/>
          <w:szCs w:val="26"/>
        </w:rPr>
        <w:t xml:space="preserve"> </w:t>
      </w:r>
      <w:r w:rsidR="00780FB1">
        <w:rPr>
          <w:bCs/>
          <w:sz w:val="26"/>
          <w:szCs w:val="26"/>
        </w:rPr>
        <w:t xml:space="preserve"> </w:t>
      </w:r>
      <w:bookmarkStart w:id="1" w:name="_GoBack"/>
      <w:bookmarkEnd w:id="1"/>
      <w:r w:rsidRPr="007C571F">
        <w:rPr>
          <w:bCs/>
          <w:sz w:val="26"/>
          <w:szCs w:val="26"/>
        </w:rPr>
        <w:t>31/12/2019, 31/01/2020, 28/02/2020 (</w:t>
      </w:r>
      <w:r w:rsidR="00A75FAB">
        <w:rPr>
          <w:bCs/>
          <w:sz w:val="26"/>
          <w:szCs w:val="26"/>
        </w:rPr>
        <w:t>ba</w:t>
      </w:r>
      <w:r w:rsidRPr="007C571F">
        <w:rPr>
          <w:bCs/>
          <w:sz w:val="26"/>
          <w:szCs w:val="26"/>
        </w:rPr>
        <w:t xml:space="preserve"> tháng liên tục trước ngày ký </w:t>
      </w:r>
      <w:r w:rsidR="00DC60A6">
        <w:rPr>
          <w:bCs/>
          <w:sz w:val="26"/>
          <w:szCs w:val="26"/>
        </w:rPr>
        <w:t>thỏa thuận vay</w:t>
      </w:r>
      <w:r w:rsidRPr="007C571F">
        <w:rPr>
          <w:bCs/>
          <w:sz w:val="26"/>
          <w:szCs w:val="26"/>
        </w:rPr>
        <w:t xml:space="preserve">), 31/3/2020, 30/4/2020, 31/05/2020 (các tháng liên tục từ khi ký </w:t>
      </w:r>
      <w:r w:rsidR="000F594F">
        <w:rPr>
          <w:bCs/>
          <w:sz w:val="26"/>
          <w:szCs w:val="26"/>
        </w:rPr>
        <w:t>thỏa thuận</w:t>
      </w:r>
      <w:r w:rsidRPr="007C571F">
        <w:rPr>
          <w:bCs/>
          <w:sz w:val="26"/>
          <w:szCs w:val="26"/>
        </w:rPr>
        <w:t xml:space="preserve"> vay đến khi hoàn thiện hồ sơ đăng ký khoản vay nước ngoài</w:t>
      </w:r>
      <w:r w:rsidR="00DC60A6">
        <w:rPr>
          <w:bCs/>
          <w:sz w:val="26"/>
          <w:szCs w:val="26"/>
        </w:rPr>
        <w:t>)</w:t>
      </w:r>
      <w:r w:rsidRPr="007C571F">
        <w:rPr>
          <w:bCs/>
          <w:sz w:val="26"/>
          <w:szCs w:val="26"/>
        </w:rPr>
        <w:t>.</w:t>
      </w:r>
    </w:p>
    <w:p w:rsidR="008E7171" w:rsidRPr="007C571F" w:rsidRDefault="008E7171" w:rsidP="009A7C98">
      <w:pPr>
        <w:pStyle w:val="NormalWeb"/>
        <w:spacing w:before="120" w:beforeAutospacing="0"/>
        <w:jc w:val="center"/>
        <w:rPr>
          <w:b/>
          <w:bCs/>
          <w:sz w:val="26"/>
          <w:szCs w:val="26"/>
        </w:rPr>
      </w:pPr>
    </w:p>
    <w:p w:rsidR="008E7171" w:rsidRPr="007C571F" w:rsidRDefault="008E7171" w:rsidP="009A7C98">
      <w:pPr>
        <w:pStyle w:val="NormalWeb"/>
        <w:spacing w:before="120" w:beforeAutospacing="0"/>
        <w:jc w:val="center"/>
        <w:rPr>
          <w:b/>
          <w:bCs/>
          <w:sz w:val="26"/>
          <w:szCs w:val="26"/>
        </w:rPr>
      </w:pPr>
    </w:p>
    <w:sectPr w:rsidR="008E7171" w:rsidRPr="007C571F" w:rsidSect="00B16343">
      <w:headerReference w:type="even" r:id="rId7"/>
      <w:headerReference w:type="default" r:id="rId8"/>
      <w:footerReference w:type="even" r:id="rId9"/>
      <w:footerReference w:type="default" r:id="rId10"/>
      <w:headerReference w:type="first" r:id="rId11"/>
      <w:footerReference w:type="first" r:id="rId12"/>
      <w:pgSz w:w="16839" w:h="11907" w:orient="landscape" w:code="9"/>
      <w:pgMar w:top="851" w:right="144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D1" w:rsidRDefault="00C745D1" w:rsidP="00571493">
      <w:r>
        <w:separator/>
      </w:r>
    </w:p>
  </w:endnote>
  <w:endnote w:type="continuationSeparator" w:id="0">
    <w:p w:rsidR="00C745D1" w:rsidRDefault="00C745D1" w:rsidP="0057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D1" w:rsidRDefault="00C74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D1" w:rsidRDefault="00C745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D1" w:rsidRDefault="00C74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D1" w:rsidRDefault="00C745D1" w:rsidP="00571493">
      <w:r>
        <w:separator/>
      </w:r>
    </w:p>
  </w:footnote>
  <w:footnote w:type="continuationSeparator" w:id="0">
    <w:p w:rsidR="00C745D1" w:rsidRDefault="00C745D1" w:rsidP="00571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D1" w:rsidRDefault="00C74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4340"/>
      <w:docPartObj>
        <w:docPartGallery w:val="Page Numbers (Top of Page)"/>
        <w:docPartUnique/>
      </w:docPartObj>
    </w:sdtPr>
    <w:sdtEndPr/>
    <w:sdtContent>
      <w:p w:rsidR="00C745D1" w:rsidRDefault="00C745D1">
        <w:pPr>
          <w:pStyle w:val="Header"/>
          <w:jc w:val="center"/>
        </w:pPr>
        <w:r>
          <w:fldChar w:fldCharType="begin"/>
        </w:r>
        <w:r>
          <w:instrText xml:space="preserve"> PAGE   \* MERGEFORMAT </w:instrText>
        </w:r>
        <w:r>
          <w:fldChar w:fldCharType="separate"/>
        </w:r>
        <w:r w:rsidR="00A75FAB">
          <w:rPr>
            <w:noProof/>
          </w:rPr>
          <w:t>2</w:t>
        </w:r>
        <w:r>
          <w:rPr>
            <w:noProof/>
          </w:rPr>
          <w:fldChar w:fldCharType="end"/>
        </w:r>
      </w:p>
    </w:sdtContent>
  </w:sdt>
  <w:p w:rsidR="00C745D1" w:rsidRDefault="00C745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D1" w:rsidRDefault="00C74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63"/>
    <w:rsid w:val="00001E58"/>
    <w:rsid w:val="000A51A0"/>
    <w:rsid w:val="000C29AA"/>
    <w:rsid w:val="000F594F"/>
    <w:rsid w:val="00112350"/>
    <w:rsid w:val="00181D7E"/>
    <w:rsid w:val="003338FD"/>
    <w:rsid w:val="0034738C"/>
    <w:rsid w:val="00357A49"/>
    <w:rsid w:val="00367401"/>
    <w:rsid w:val="00385B33"/>
    <w:rsid w:val="003A493C"/>
    <w:rsid w:val="00557B5D"/>
    <w:rsid w:val="00571493"/>
    <w:rsid w:val="00582BC9"/>
    <w:rsid w:val="005A6D4D"/>
    <w:rsid w:val="005D4227"/>
    <w:rsid w:val="005D4663"/>
    <w:rsid w:val="005F3AAB"/>
    <w:rsid w:val="005F5144"/>
    <w:rsid w:val="00632F58"/>
    <w:rsid w:val="006F03EA"/>
    <w:rsid w:val="00726288"/>
    <w:rsid w:val="00780FB1"/>
    <w:rsid w:val="007C571F"/>
    <w:rsid w:val="007D5AA0"/>
    <w:rsid w:val="007F1056"/>
    <w:rsid w:val="00875305"/>
    <w:rsid w:val="008B5A71"/>
    <w:rsid w:val="008C716E"/>
    <w:rsid w:val="008E7171"/>
    <w:rsid w:val="00977D7F"/>
    <w:rsid w:val="009A7C98"/>
    <w:rsid w:val="009C39D0"/>
    <w:rsid w:val="009F3FA4"/>
    <w:rsid w:val="00A60063"/>
    <w:rsid w:val="00A75FAB"/>
    <w:rsid w:val="00AA1E88"/>
    <w:rsid w:val="00AB4AAE"/>
    <w:rsid w:val="00AE79AB"/>
    <w:rsid w:val="00B16343"/>
    <w:rsid w:val="00BA031D"/>
    <w:rsid w:val="00BF705F"/>
    <w:rsid w:val="00C15893"/>
    <w:rsid w:val="00C44BB1"/>
    <w:rsid w:val="00C57C30"/>
    <w:rsid w:val="00C745D1"/>
    <w:rsid w:val="00CB1D73"/>
    <w:rsid w:val="00D1401D"/>
    <w:rsid w:val="00D16ED3"/>
    <w:rsid w:val="00D44625"/>
    <w:rsid w:val="00D94BFC"/>
    <w:rsid w:val="00DB4BDA"/>
    <w:rsid w:val="00DC60A6"/>
    <w:rsid w:val="00DD0E88"/>
    <w:rsid w:val="00E178DC"/>
    <w:rsid w:val="00E21DF2"/>
    <w:rsid w:val="00E26200"/>
    <w:rsid w:val="00E80A80"/>
    <w:rsid w:val="00E90C28"/>
    <w:rsid w:val="00F64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9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C98"/>
    <w:pPr>
      <w:spacing w:before="100" w:beforeAutospacing="1" w:after="100" w:afterAutospacing="1"/>
    </w:pPr>
  </w:style>
  <w:style w:type="table" w:styleId="TableGrid">
    <w:name w:val="Table Grid"/>
    <w:basedOn w:val="TableNormal"/>
    <w:uiPriority w:val="39"/>
    <w:rsid w:val="008E7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4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DA"/>
    <w:rPr>
      <w:rFonts w:ascii="Segoe UI" w:eastAsiaTheme="minorEastAsia" w:hAnsi="Segoe UI" w:cs="Segoe UI"/>
      <w:sz w:val="18"/>
      <w:szCs w:val="18"/>
    </w:rPr>
  </w:style>
  <w:style w:type="paragraph" w:styleId="Header">
    <w:name w:val="header"/>
    <w:basedOn w:val="Normal"/>
    <w:link w:val="HeaderChar"/>
    <w:uiPriority w:val="99"/>
    <w:unhideWhenUsed/>
    <w:rsid w:val="00571493"/>
    <w:pPr>
      <w:tabs>
        <w:tab w:val="center" w:pos="4680"/>
        <w:tab w:val="right" w:pos="9360"/>
      </w:tabs>
    </w:pPr>
  </w:style>
  <w:style w:type="character" w:customStyle="1" w:styleId="HeaderChar">
    <w:name w:val="Header Char"/>
    <w:basedOn w:val="DefaultParagraphFont"/>
    <w:link w:val="Header"/>
    <w:uiPriority w:val="99"/>
    <w:rsid w:val="0057149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71493"/>
    <w:pPr>
      <w:tabs>
        <w:tab w:val="center" w:pos="4680"/>
        <w:tab w:val="right" w:pos="9360"/>
      </w:tabs>
    </w:pPr>
  </w:style>
  <w:style w:type="character" w:customStyle="1" w:styleId="FooterChar">
    <w:name w:val="Footer Char"/>
    <w:basedOn w:val="DefaultParagraphFont"/>
    <w:link w:val="Footer"/>
    <w:uiPriority w:val="99"/>
    <w:rsid w:val="00571493"/>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9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C98"/>
    <w:pPr>
      <w:spacing w:before="100" w:beforeAutospacing="1" w:after="100" w:afterAutospacing="1"/>
    </w:pPr>
  </w:style>
  <w:style w:type="table" w:styleId="TableGrid">
    <w:name w:val="Table Grid"/>
    <w:basedOn w:val="TableNormal"/>
    <w:uiPriority w:val="39"/>
    <w:rsid w:val="008E7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4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DA"/>
    <w:rPr>
      <w:rFonts w:ascii="Segoe UI" w:eastAsiaTheme="minorEastAsia" w:hAnsi="Segoe UI" w:cs="Segoe UI"/>
      <w:sz w:val="18"/>
      <w:szCs w:val="18"/>
    </w:rPr>
  </w:style>
  <w:style w:type="paragraph" w:styleId="Header">
    <w:name w:val="header"/>
    <w:basedOn w:val="Normal"/>
    <w:link w:val="HeaderChar"/>
    <w:uiPriority w:val="99"/>
    <w:unhideWhenUsed/>
    <w:rsid w:val="00571493"/>
    <w:pPr>
      <w:tabs>
        <w:tab w:val="center" w:pos="4680"/>
        <w:tab w:val="right" w:pos="9360"/>
      </w:tabs>
    </w:pPr>
  </w:style>
  <w:style w:type="character" w:customStyle="1" w:styleId="HeaderChar">
    <w:name w:val="Header Char"/>
    <w:basedOn w:val="DefaultParagraphFont"/>
    <w:link w:val="Header"/>
    <w:uiPriority w:val="99"/>
    <w:rsid w:val="0057149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71493"/>
    <w:pPr>
      <w:tabs>
        <w:tab w:val="center" w:pos="4680"/>
        <w:tab w:val="right" w:pos="9360"/>
      </w:tabs>
    </w:pPr>
  </w:style>
  <w:style w:type="character" w:customStyle="1" w:styleId="FooterChar">
    <w:name w:val="Footer Char"/>
    <w:basedOn w:val="DefaultParagraphFont"/>
    <w:link w:val="Footer"/>
    <w:uiPriority w:val="99"/>
    <w:rsid w:val="00571493"/>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86322-3361-4A7B-A01A-7105CA090AD8}"/>
</file>

<file path=customXml/itemProps2.xml><?xml version="1.0" encoding="utf-8"?>
<ds:datastoreItem xmlns:ds="http://schemas.openxmlformats.org/officeDocument/2006/customXml" ds:itemID="{4F178C62-1D00-47B0-B6C7-A744387FF9C2}"/>
</file>

<file path=customXml/itemProps3.xml><?xml version="1.0" encoding="utf-8"?>
<ds:datastoreItem xmlns:ds="http://schemas.openxmlformats.org/officeDocument/2006/customXml" ds:itemID="{A9424C3C-2781-484A-ABEC-F7F857504EE5}"/>
</file>

<file path=docProps/app.xml><?xml version="1.0" encoding="utf-8"?>
<Properties xmlns="http://schemas.openxmlformats.org/officeDocument/2006/extended-properties" xmlns:vt="http://schemas.openxmlformats.org/officeDocument/2006/docPropsVTypes">
  <Template>Normal</Template>
  <TotalTime>22</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Bui Thi Thu Nga (QLNH)</cp:lastModifiedBy>
  <cp:revision>14</cp:revision>
  <cp:lastPrinted>2022-08-09T06:59:00Z</cp:lastPrinted>
  <dcterms:created xsi:type="dcterms:W3CDTF">2022-09-22T08:56:00Z</dcterms:created>
  <dcterms:modified xsi:type="dcterms:W3CDTF">2022-09-30T09:37:00Z</dcterms:modified>
</cp:coreProperties>
</file>